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C86FDC" w:rsidP="008C1717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Odsjek za </w:t>
            </w:r>
            <w:r w:rsidR="008C1717">
              <w:rPr>
                <w:rFonts w:ascii="Times New Roman" w:hAnsi="Times New Roman" w:cs="Times New Roman"/>
                <w:sz w:val="20"/>
              </w:rPr>
              <w:t>predškolski odgoj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BD127B" w:rsidP="00D46545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</w:t>
            </w:r>
            <w:r w:rsidR="00D46545">
              <w:rPr>
                <w:rFonts w:ascii="Merriweather" w:hAnsi="Merriweather" w:cs="Times New Roman"/>
                <w:sz w:val="20"/>
              </w:rPr>
              <w:t>/</w:t>
            </w:r>
            <w:r w:rsidR="00FF1020">
              <w:rPr>
                <w:rFonts w:ascii="Merriweather" w:hAnsi="Merriweather" w:cs="Times New Roman"/>
                <w:sz w:val="20"/>
              </w:rPr>
              <w:t>202</w:t>
            </w:r>
            <w:r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8C171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Prirodni oblici kretanja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C86FD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D03AA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EF39DF">
              <w:rPr>
                <w:rFonts w:ascii="Times New Roman" w:hAnsi="Times New Roman" w:cs="Times New Roman"/>
                <w:sz w:val="20"/>
                <w:szCs w:val="20"/>
              </w:rPr>
              <w:t>Diplomski sveučilišni studij ranog i predškolskog odgoja i obrazovanja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281B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93"/>
                  </w:sdtPr>
                  <w:sdtEndPr/>
                  <w:sdtContent>
                    <w:r w:rsidR="008C1717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281B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433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1724010501"/>
                      </w:sdtPr>
                      <w:sdtEndPr/>
                      <w:sdtContent>
                        <w:r w:rsidR="008C1717" w:rsidRPr="00FF1020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281B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281B9C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281B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281B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95"/>
                  </w:sdtPr>
                  <w:sdtEndPr/>
                  <w:sdtContent>
                    <w:r w:rsidR="008C1717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281B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281B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18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1724010499"/>
                      </w:sdtPr>
                      <w:sdtEndPr/>
                      <w:sdtContent>
                        <w:r w:rsidR="008C1717" w:rsidRPr="00FF1020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281B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281B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281B9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19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281B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281B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281B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281B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97"/>
                  </w:sdtPr>
                  <w:sdtEndPr/>
                  <w:sdtContent>
                    <w:r w:rsidR="008C1717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281B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281B9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281B9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20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281B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281B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281B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C86FD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C86FD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C86FD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281B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21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Default="004D2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Sri</w:t>
            </w:r>
            <w:r w:rsidR="00C86FDC">
              <w:rPr>
                <w:rFonts w:ascii="Merriweather" w:hAnsi="Merriweather" w:cs="Times New Roman"/>
                <w:sz w:val="18"/>
                <w:szCs w:val="20"/>
              </w:rPr>
              <w:t xml:space="preserve"> </w:t>
            </w:r>
            <w:r w:rsidR="00BD127B">
              <w:rPr>
                <w:rFonts w:ascii="Merriweather" w:hAnsi="Merriweather" w:cs="Times New Roman"/>
                <w:sz w:val="18"/>
                <w:szCs w:val="20"/>
              </w:rPr>
              <w:t>9:30-10:30</w:t>
            </w:r>
            <w:r w:rsidR="00C86FDC">
              <w:rPr>
                <w:rFonts w:ascii="Merriweather" w:hAnsi="Merriweather" w:cs="Times New Roman"/>
                <w:sz w:val="18"/>
                <w:szCs w:val="20"/>
              </w:rPr>
              <w:t xml:space="preserve"> Učionica </w:t>
            </w:r>
            <w:r>
              <w:rPr>
                <w:rFonts w:ascii="Merriweather" w:hAnsi="Merriweather" w:cs="Times New Roman"/>
                <w:sz w:val="18"/>
                <w:szCs w:val="20"/>
              </w:rPr>
              <w:t>105</w:t>
            </w:r>
          </w:p>
          <w:p w:rsidR="00C86FDC" w:rsidRDefault="004D2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Sri</w:t>
            </w:r>
            <w:r w:rsidR="00BD127B">
              <w:rPr>
                <w:rFonts w:ascii="Merriweather" w:hAnsi="Merriweather" w:cs="Times New Roman"/>
                <w:sz w:val="18"/>
                <w:szCs w:val="20"/>
              </w:rPr>
              <w:t xml:space="preserve"> 14:00-15</w:t>
            </w:r>
            <w:r w:rsidR="00C86FDC">
              <w:rPr>
                <w:rFonts w:ascii="Merriweather" w:hAnsi="Merriweather" w:cs="Times New Roman"/>
                <w:sz w:val="18"/>
                <w:szCs w:val="20"/>
              </w:rPr>
              <w:t>:00 S.C. Višnjik</w:t>
            </w:r>
          </w:p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D4654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27.02.2023</w:t>
            </w:r>
            <w:r w:rsidR="00C86FDC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D46545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9.06.2023</w:t>
            </w:r>
            <w:r w:rsidR="00C86FDC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86FDC" w:rsidRPr="00FF1020" w:rsidTr="00F7052B">
        <w:tc>
          <w:tcPr>
            <w:tcW w:w="1802" w:type="dxa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:rsidR="00C86FDC" w:rsidRPr="009947BA" w:rsidRDefault="00BD127B" w:rsidP="00E70F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</w:t>
            </w:r>
            <w:r w:rsidR="00D4654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prof. </w:t>
            </w:r>
            <w:r w:rsidR="00D46545">
              <w:rPr>
                <w:rFonts w:ascii="Times New Roman" w:hAnsi="Times New Roman" w:cs="Times New Roman"/>
                <w:sz w:val="18"/>
              </w:rPr>
              <w:t>dr.sc. Jelena Alić</w:t>
            </w:r>
          </w:p>
        </w:tc>
      </w:tr>
      <w:tr w:rsidR="00C86FDC" w:rsidRPr="00FF1020" w:rsidTr="00F7052B">
        <w:tc>
          <w:tcPr>
            <w:tcW w:w="1802" w:type="dxa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:rsidR="00C86FDC" w:rsidRPr="009947BA" w:rsidRDefault="00D46545" w:rsidP="00E70F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jcetinic@unizd.hr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C86FDC" w:rsidRPr="00FF1020" w:rsidRDefault="00D46545" w:rsidP="00C86FD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Utorak: 10-12h</w:t>
            </w:r>
          </w:p>
        </w:tc>
      </w:tr>
      <w:tr w:rsidR="00C86FDC" w:rsidRPr="00FF1020" w:rsidTr="00F17C6B">
        <w:tc>
          <w:tcPr>
            <w:tcW w:w="1802" w:type="dxa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:rsidR="00C86FDC" w:rsidRPr="009947BA" w:rsidRDefault="00BD127B" w:rsidP="00E70F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</w:t>
            </w:r>
            <w:r w:rsidR="00C86FDC">
              <w:rPr>
                <w:rFonts w:ascii="Times New Roman" w:hAnsi="Times New Roman" w:cs="Times New Roman"/>
                <w:sz w:val="18"/>
              </w:rPr>
              <w:t>.d</w:t>
            </w:r>
            <w:r w:rsidR="00D46545">
              <w:rPr>
                <w:rFonts w:ascii="Times New Roman" w:hAnsi="Times New Roman" w:cs="Times New Roman"/>
                <w:sz w:val="18"/>
              </w:rPr>
              <w:t>r.sc. Jelena Alić</w:t>
            </w:r>
          </w:p>
        </w:tc>
      </w:tr>
      <w:tr w:rsidR="00C86FDC" w:rsidRPr="00FF1020" w:rsidTr="00F17C6B">
        <w:tc>
          <w:tcPr>
            <w:tcW w:w="1802" w:type="dxa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:rsidR="00C86FDC" w:rsidRPr="009947BA" w:rsidRDefault="00D46545" w:rsidP="00E70F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jcetinic</w:t>
            </w:r>
            <w:r w:rsidR="00C86FDC">
              <w:rPr>
                <w:rFonts w:ascii="Times New Roman" w:hAnsi="Times New Roman" w:cs="Times New Roman"/>
                <w:sz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C86FDC" w:rsidRPr="00FF1020" w:rsidRDefault="00D46545" w:rsidP="00C86FD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10-12h</w:t>
            </w:r>
          </w:p>
        </w:tc>
      </w:tr>
      <w:tr w:rsidR="00C86FDC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86FDC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86FDC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86FDC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86FDC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86FDC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C86FDC" w:rsidRPr="00FF1020" w:rsidRDefault="00281B9C" w:rsidP="00C86F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4010476"/>
              </w:sdtPr>
              <w:sdtEndPr/>
              <w:sdtContent>
                <w:r w:rsidR="00C86FD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C86FDC">
              <w:rPr>
                <w:rFonts w:ascii="Merriweather" w:hAnsi="Merriweather" w:cs="Times New Roman"/>
                <w:sz w:val="18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4010477"/>
              </w:sdtPr>
              <w:sdtEndPr/>
              <w:sdtContent>
                <w:r w:rsidR="00C86FD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C86FDC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C86FDC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4D2C18" w:rsidRPr="008B5456" w:rsidRDefault="004D2C18" w:rsidP="004D2C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B5456">
              <w:rPr>
                <w:rFonts w:ascii="Times New Roman" w:hAnsi="Times New Roman" w:cs="Times New Roman"/>
                <w:sz w:val="18"/>
              </w:rPr>
              <w:t>Nakon položenog ispita iz ovoga kolegija studenti će biti sposobni:</w:t>
            </w:r>
          </w:p>
          <w:p w:rsidR="004D2C18" w:rsidRPr="008B5456" w:rsidRDefault="004D2C18" w:rsidP="004D2C1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B5456">
              <w:rPr>
                <w:rFonts w:ascii="Times New Roman" w:hAnsi="Times New Roman" w:cs="Times New Roman"/>
                <w:sz w:val="18"/>
              </w:rPr>
              <w:t xml:space="preserve">Demonstrirati temeljno poznavanje  sadržaja koji proizlaze iz programa tjelesne i zdravstvene kulture, a odnose se na prirodne oblike kretanja i jednostavne forme igara </w:t>
            </w:r>
          </w:p>
          <w:p w:rsidR="004D2C18" w:rsidRPr="008B5456" w:rsidRDefault="004D2C18" w:rsidP="004D2C1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B5456">
              <w:rPr>
                <w:rFonts w:ascii="Times New Roman" w:hAnsi="Times New Roman" w:cs="Times New Roman"/>
                <w:sz w:val="18"/>
              </w:rPr>
              <w:t>Razviti sposobnost za samostalnu organizaciju i  provođenje kinezioloških aktivnosti u okviru predškolskog odgojno- obrazovnog procesa</w:t>
            </w:r>
          </w:p>
          <w:p w:rsidR="004D2C18" w:rsidRPr="008B5456" w:rsidRDefault="004D2C18" w:rsidP="004D2C1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B5456">
              <w:rPr>
                <w:rFonts w:ascii="Times New Roman" w:hAnsi="Times New Roman" w:cs="Times New Roman"/>
                <w:sz w:val="18"/>
              </w:rPr>
              <w:t>Demonstrirati znanje za učinkovito i efikasno provođenje kinezioloških sadržaja u skladu sa razvojnim značajkama djeteta</w:t>
            </w:r>
          </w:p>
          <w:p w:rsidR="004D2C18" w:rsidRPr="008B5456" w:rsidRDefault="004D2C18" w:rsidP="004D2C1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B5456">
              <w:rPr>
                <w:rFonts w:ascii="Times New Roman" w:hAnsi="Times New Roman" w:cs="Times New Roman"/>
                <w:sz w:val="18"/>
              </w:rPr>
              <w:t>Pokazivati razumijevanje rizika za sigurnost prilikom realizacije pojedinih motoričkih zadataka organizirajući sigurnu i poticajnu sredinu</w:t>
            </w:r>
          </w:p>
          <w:p w:rsidR="004D2C18" w:rsidRPr="008B5456" w:rsidRDefault="004D2C18" w:rsidP="004D2C1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B5456">
              <w:rPr>
                <w:rFonts w:ascii="Times New Roman" w:hAnsi="Times New Roman" w:cs="Times New Roman"/>
                <w:sz w:val="18"/>
              </w:rPr>
              <w:lastRenderedPageBreak/>
              <w:t>Pokazivati razumijevanje utjecaja tjelesnog vježbanja na zdravlje djeteta</w:t>
            </w:r>
          </w:p>
          <w:p w:rsidR="00D03AA2" w:rsidRDefault="004D2C18" w:rsidP="00D03AA2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8B5456">
              <w:rPr>
                <w:rFonts w:ascii="Times New Roman" w:hAnsi="Times New Roman" w:cs="Times New Roman"/>
                <w:sz w:val="18"/>
              </w:rPr>
              <w:t xml:space="preserve">Prilagoditi kineziološke operatore dobi, motoričkim i funkcionalnim sposobnostima </w:t>
            </w:r>
          </w:p>
          <w:p w:rsidR="00C86FDC" w:rsidRPr="00D03AA2" w:rsidRDefault="004D2C18" w:rsidP="00D03AA2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D03AA2">
              <w:rPr>
                <w:rFonts w:ascii="Times New Roman" w:hAnsi="Times New Roman" w:cs="Times New Roman"/>
                <w:sz w:val="18"/>
              </w:rPr>
              <w:t>Planirati kineziološke aktivnosti s ciljem pozitivnog utjecaja na morfološki, motorički i funkcionalni status</w:t>
            </w:r>
          </w:p>
        </w:tc>
      </w:tr>
      <w:tr w:rsidR="00C86FDC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4D2C18" w:rsidRPr="00A14495" w:rsidRDefault="004D2C18" w:rsidP="004D2C18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završenog studija studenti će:</w:t>
            </w:r>
          </w:p>
          <w:p w:rsidR="004D2C18" w:rsidRPr="00A14495" w:rsidRDefault="004D2C18" w:rsidP="004D2C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opisati i pokazati kineziološke operatore u svrhu unaprjeđenja motoričke, funkcionalne i kognitivne sposobnosti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djece</w:t>
            </w:r>
          </w:p>
          <w:p w:rsidR="004D2C18" w:rsidRPr="00A14495" w:rsidRDefault="004D2C18" w:rsidP="004D2C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primijeniti različite metode poučavanja ovisno o mogućnostima i razvojnoj dimenziji djeteta </w:t>
            </w:r>
          </w:p>
          <w:p w:rsidR="004D2C18" w:rsidRDefault="004D2C18" w:rsidP="004D2C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prepoznati specifične potrebe učenika koji su uvjetovani njihovom različitošću i posebnostima na individualnoj razini.</w:t>
            </w:r>
          </w:p>
          <w:p w:rsidR="00C86FDC" w:rsidRPr="004D2C18" w:rsidRDefault="004D2C18" w:rsidP="004D2C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D2C18">
              <w:rPr>
                <w:rFonts w:ascii="Times New Roman" w:hAnsi="Times New Roman" w:cs="Times New Roman"/>
                <w:sz w:val="20"/>
                <w:szCs w:val="20"/>
              </w:rPr>
              <w:t>provoditi istraživanja u funkciji unaprjeđenja struke, uvažavajući Etički kodeks istraživanja s djecom.</w:t>
            </w:r>
          </w:p>
        </w:tc>
      </w:tr>
      <w:tr w:rsidR="00C86FDC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C86FDC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C86FDC" w:rsidRPr="00FF1020" w:rsidRDefault="00C86FDC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79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1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86FDC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C86FDC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3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5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C86FDC" w:rsidRPr="00FF1020" w:rsidRDefault="00281B9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86FDC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C86FDC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C86FDC" w:rsidRPr="00FF1020" w:rsidRDefault="00281B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C86FDC" w:rsidRPr="00FF1020" w:rsidRDefault="00281B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7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C86FDC" w:rsidRPr="00FF1020" w:rsidRDefault="00281B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9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C86FDC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86FDC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C86FDC" w:rsidRPr="00FF1020" w:rsidRDefault="004D2C1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Kolegij obuhvaća osnovna teorijsko-praktična znanja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prirodnim oblicima kretanja </w:t>
            </w:r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primjenjivih u radu sa djecom predškolske dobi.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Kroz kolegij studenti usvajaju i usavršavaju temeljna teorijska i praktična kineziološka znanja, usvajaju metodičke postupke primjenom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jednostavnijih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metodičkih organizacijskih oblika rada,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određeni fond motoričkih informacija neophodnih za realizaciju adekvatnih kinezioloških postupaka kojima se utječe na morfološka obilježja, te motoričke i funkcionalne sposobnosti predškolske djece.</w:t>
            </w:r>
          </w:p>
        </w:tc>
      </w:tr>
      <w:tr w:rsidR="00C86FDC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4D2C18" w:rsidRPr="008B5456" w:rsidRDefault="004D2C18" w:rsidP="004D2C1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5456">
              <w:rPr>
                <w:rFonts w:ascii="Times New Roman" w:hAnsi="Times New Roman" w:cs="Times New Roman"/>
                <w:sz w:val="20"/>
                <w:szCs w:val="20"/>
              </w:rPr>
              <w:t>Uvodno predavanje- sadržaj, ciljevi</w:t>
            </w:r>
          </w:p>
          <w:p w:rsidR="004D2C18" w:rsidRDefault="004D2C18" w:rsidP="004D2C1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5456">
              <w:rPr>
                <w:rFonts w:ascii="Times New Roman" w:hAnsi="Times New Roman" w:cs="Times New Roman"/>
                <w:sz w:val="20"/>
                <w:szCs w:val="20"/>
              </w:rPr>
              <w:t>Prirodni oblici kretanja-definicija i podjela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2C18" w:rsidRPr="008B5456" w:rsidRDefault="004D2C18" w:rsidP="004D2C1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5456">
              <w:rPr>
                <w:rFonts w:ascii="Times New Roman" w:hAnsi="Times New Roman" w:cs="Times New Roman"/>
                <w:sz w:val="20"/>
                <w:szCs w:val="20"/>
              </w:rPr>
              <w:t>Slijed učenja prirodnih oblika kretanja</w:t>
            </w:r>
          </w:p>
          <w:p w:rsidR="004D2C18" w:rsidRPr="008B5456" w:rsidRDefault="004D2C18" w:rsidP="004D2C1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5456">
              <w:rPr>
                <w:rFonts w:ascii="Times New Roman" w:hAnsi="Times New Roman" w:cs="Times New Roman"/>
                <w:sz w:val="20"/>
                <w:szCs w:val="20"/>
              </w:rPr>
              <w:t>Usvajanje prirodnih oblika kretanja</w:t>
            </w:r>
          </w:p>
          <w:p w:rsidR="004D2C18" w:rsidRPr="008B5456" w:rsidRDefault="004D2C18" w:rsidP="004D2C1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5456">
              <w:rPr>
                <w:rFonts w:ascii="Times New Roman" w:hAnsi="Times New Roman" w:cs="Times New Roman"/>
                <w:sz w:val="20"/>
                <w:szCs w:val="20"/>
              </w:rPr>
              <w:t>Stupnjevi (razvojne faze) prirodnih oblika kretanja</w:t>
            </w:r>
          </w:p>
          <w:p w:rsidR="004D2C18" w:rsidRPr="008B5456" w:rsidRDefault="004D2C18" w:rsidP="004D2C1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5456">
              <w:rPr>
                <w:rFonts w:ascii="Times New Roman" w:hAnsi="Times New Roman" w:cs="Times New Roman"/>
                <w:sz w:val="20"/>
                <w:szCs w:val="20"/>
              </w:rPr>
              <w:t>Morfološki razvoj predškolskog djeteta</w:t>
            </w:r>
          </w:p>
          <w:p w:rsidR="004D2C18" w:rsidRPr="008B5456" w:rsidRDefault="004D2C18" w:rsidP="004D2C1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5456">
              <w:rPr>
                <w:rFonts w:ascii="Times New Roman" w:hAnsi="Times New Roman" w:cs="Times New Roman"/>
                <w:sz w:val="20"/>
                <w:szCs w:val="20"/>
              </w:rPr>
              <w:t>Motorički razvoj predškolskog djeteta</w:t>
            </w:r>
          </w:p>
          <w:p w:rsidR="004D2C18" w:rsidRPr="008B5456" w:rsidRDefault="004D2C18" w:rsidP="004D2C1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5456">
              <w:rPr>
                <w:rFonts w:ascii="Times New Roman" w:hAnsi="Times New Roman" w:cs="Times New Roman"/>
                <w:sz w:val="20"/>
                <w:szCs w:val="20"/>
              </w:rPr>
              <w:t>Prirodni oblici kretanja s ciljem svladavanja prepreka</w:t>
            </w:r>
          </w:p>
          <w:p w:rsidR="004D2C18" w:rsidRPr="008B5456" w:rsidRDefault="004D2C18" w:rsidP="004D2C1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5456">
              <w:rPr>
                <w:rFonts w:ascii="Times New Roman" w:hAnsi="Times New Roman" w:cs="Times New Roman"/>
                <w:sz w:val="20"/>
                <w:szCs w:val="20"/>
              </w:rPr>
              <w:t>Prirodni oblici kretanja s ciljem svladavanja prepreka</w:t>
            </w:r>
          </w:p>
          <w:p w:rsidR="004D2C18" w:rsidRPr="008B5456" w:rsidRDefault="004D2C18" w:rsidP="004D2C1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5456">
              <w:rPr>
                <w:rFonts w:ascii="Times New Roman" w:hAnsi="Times New Roman" w:cs="Times New Roman"/>
                <w:sz w:val="20"/>
                <w:szCs w:val="20"/>
              </w:rPr>
              <w:t>Prirodni oblici kretanja s ciljem svladavanja otpora</w:t>
            </w:r>
          </w:p>
          <w:p w:rsidR="004D2C18" w:rsidRPr="008B5456" w:rsidRDefault="004D2C18" w:rsidP="004D2C1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5456">
              <w:rPr>
                <w:rFonts w:ascii="Times New Roman" w:hAnsi="Times New Roman" w:cs="Times New Roman"/>
                <w:sz w:val="20"/>
                <w:szCs w:val="20"/>
              </w:rPr>
              <w:t>Prirodni oblici kretanja s ciljem svladavanja otpora</w:t>
            </w:r>
          </w:p>
          <w:p w:rsidR="004D2C18" w:rsidRPr="008B5456" w:rsidRDefault="004D2C18" w:rsidP="004D2C1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5456">
              <w:rPr>
                <w:rFonts w:ascii="Times New Roman" w:hAnsi="Times New Roman" w:cs="Times New Roman"/>
                <w:sz w:val="20"/>
                <w:szCs w:val="20"/>
              </w:rPr>
              <w:t>Prirodni oblici kretanja s ciljem svladavanja prostora</w:t>
            </w:r>
          </w:p>
          <w:p w:rsidR="004D2C18" w:rsidRPr="008B5456" w:rsidRDefault="004D2C18" w:rsidP="004D2C1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5456">
              <w:rPr>
                <w:rFonts w:ascii="Times New Roman" w:hAnsi="Times New Roman" w:cs="Times New Roman"/>
                <w:sz w:val="20"/>
                <w:szCs w:val="20"/>
              </w:rPr>
              <w:t>Prirodni oblici kretanja s ciljem svladavanja prostora</w:t>
            </w:r>
          </w:p>
          <w:p w:rsidR="004D2C18" w:rsidRDefault="004D2C18" w:rsidP="004D2C1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B5456">
              <w:rPr>
                <w:rFonts w:ascii="Times New Roman" w:hAnsi="Times New Roman" w:cs="Times New Roman"/>
                <w:sz w:val="20"/>
                <w:szCs w:val="20"/>
              </w:rPr>
              <w:t>Prirodni oblici kretanja s ciljem  manipulacije objektima</w:t>
            </w:r>
          </w:p>
          <w:p w:rsidR="00C86FDC" w:rsidRPr="004D2C18" w:rsidRDefault="004D2C18" w:rsidP="004D2C18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D2C18">
              <w:rPr>
                <w:rFonts w:ascii="Times New Roman" w:hAnsi="Times New Roman" w:cs="Times New Roman"/>
                <w:sz w:val="20"/>
                <w:szCs w:val="20"/>
              </w:rPr>
              <w:t>Prirodni oblici kretanja s ciljem  manipulacije objektima</w:t>
            </w:r>
          </w:p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C86FDC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D46545" w:rsidRDefault="004D2C18" w:rsidP="004D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Neljak</w:t>
            </w:r>
            <w:proofErr w:type="spellEnd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, B. (2009). Kineziološka metodika u predškolskom odgoju,</w:t>
            </w:r>
            <w:r w:rsidR="00BD1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  <w:p w:rsidR="004D2C18" w:rsidRPr="00D23CE8" w:rsidRDefault="004D2C18" w:rsidP="004D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Findak</w:t>
            </w:r>
            <w:proofErr w:type="spellEnd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, V. i Delija, K. (2001). Tjelesna i zdravstvena kultura u predškolskom odgoju, priručnik za odgojitelje. Zagreb: Edip</w:t>
            </w:r>
          </w:p>
          <w:p w:rsidR="004D2C18" w:rsidRPr="00D23CE8" w:rsidRDefault="004D2C18" w:rsidP="004D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Pejčić, A. (2005). Kineziološke aktivnosti za djecu predškolske i rane školske dobi. Rijeka: Visoka učiteljska škola</w:t>
            </w:r>
          </w:p>
          <w:p w:rsidR="004D2C18" w:rsidRPr="00D23CE8" w:rsidRDefault="004D2C18" w:rsidP="004D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Ivanković, A. (1980). Tjelesni odgoj djece predškolske dobi. Zagreb: Školska knjiga.</w:t>
            </w:r>
          </w:p>
          <w:p w:rsidR="004D2C18" w:rsidRPr="00D23CE8" w:rsidRDefault="004D2C18" w:rsidP="004D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Allue</w:t>
            </w:r>
            <w:proofErr w:type="spellEnd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, J. M. (2003). Velika knjiga igara. Zagreb: Profil.</w:t>
            </w:r>
          </w:p>
          <w:p w:rsidR="004D2C18" w:rsidRPr="00D23CE8" w:rsidRDefault="004D2C18" w:rsidP="004D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Šnajder, V. (1997). Na mjesta pozor...hodanje i trčanje u tjelesnoj i zdravstvenoj kulturi. Fakultet za fizičku kulturu, Zagreb</w:t>
            </w:r>
          </w:p>
          <w:p w:rsidR="00C86FDC" w:rsidRPr="00FF1020" w:rsidRDefault="004D2C18" w:rsidP="004D2C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Findak</w:t>
            </w:r>
            <w:proofErr w:type="spellEnd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 xml:space="preserve">, V., Metikoš, D., </w:t>
            </w:r>
            <w:proofErr w:type="spellStart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Mraković</w:t>
            </w:r>
            <w:proofErr w:type="spellEnd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 xml:space="preserve">, M., </w:t>
            </w:r>
            <w:proofErr w:type="spellStart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Neljak</w:t>
            </w:r>
            <w:proofErr w:type="spellEnd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 xml:space="preserve">, B. i </w:t>
            </w:r>
            <w:proofErr w:type="spellStart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Prot</w:t>
            </w:r>
            <w:proofErr w:type="spellEnd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 xml:space="preserve">, F. (2000). </w:t>
            </w:r>
            <w:proofErr w:type="spellStart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Primjenjena</w:t>
            </w:r>
            <w:proofErr w:type="spellEnd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 xml:space="preserve"> kineziologija u školstvu: Motorička znanja. Zagreb: Fakultet za fizičku kulturu Sveučilišta u Zagrebu</w:t>
            </w:r>
          </w:p>
        </w:tc>
      </w:tr>
      <w:tr w:rsidR="00C86FDC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4D2C18" w:rsidRPr="00D23CE8" w:rsidRDefault="004D2C18" w:rsidP="004D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Živčić</w:t>
            </w:r>
            <w:proofErr w:type="spellEnd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 xml:space="preserve"> Marković K., Milčić, L. i </w:t>
            </w:r>
            <w:proofErr w:type="spellStart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Fišter</w:t>
            </w:r>
            <w:proofErr w:type="spellEnd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 xml:space="preserve">, M. (2014). Prirodni oblici kretanja - osnove učenja bazičnih gimnastičkih elemenata // 23. Ljetna škola kineziologa Republike Hrvatske / </w:t>
            </w:r>
            <w:proofErr w:type="spellStart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Findak</w:t>
            </w:r>
            <w:proofErr w:type="spellEnd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, Vladimir (</w:t>
            </w:r>
            <w:proofErr w:type="spellStart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.). Zagreb: Hrvatski kineziološki savez, str. 490-496</w:t>
            </w:r>
          </w:p>
          <w:p w:rsidR="004D2C18" w:rsidRPr="00D23CE8" w:rsidRDefault="004D2C18" w:rsidP="004D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Allu'e</w:t>
            </w:r>
            <w:proofErr w:type="spellEnd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 xml:space="preserve"> J.M. (2003). Velika knjiga igara. Zagreb: Profil International.</w:t>
            </w:r>
          </w:p>
          <w:p w:rsidR="004D2C18" w:rsidRPr="00D23CE8" w:rsidRDefault="004D2C18" w:rsidP="004D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Batllori</w:t>
            </w:r>
            <w:proofErr w:type="spellEnd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 xml:space="preserve"> J., S. </w:t>
            </w:r>
            <w:proofErr w:type="spellStart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Fontán</w:t>
            </w:r>
            <w:proofErr w:type="spellEnd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 xml:space="preserve">, E. </w:t>
            </w:r>
            <w:proofErr w:type="spellStart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Lozano</w:t>
            </w:r>
            <w:proofErr w:type="spellEnd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 xml:space="preserve"> (2008). Velika knjiga igara 2 – 250 najboljih igara za svaku dob. Zagreb: Profil International.</w:t>
            </w:r>
          </w:p>
          <w:p w:rsidR="004D2C18" w:rsidRPr="00D23CE8" w:rsidRDefault="004D2C18" w:rsidP="004D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Günther</w:t>
            </w:r>
            <w:proofErr w:type="spellEnd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, T. (2007). 1000 zabavnih igara. Zagreb: Mozaik knjiga.</w:t>
            </w:r>
          </w:p>
          <w:p w:rsidR="004D2C18" w:rsidRPr="00D23CE8" w:rsidRDefault="004D2C18" w:rsidP="004D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Bellac</w:t>
            </w:r>
            <w:proofErr w:type="spellEnd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, B. (2003). Igre u mraku. Zagreb: Profil International – biblioteka Zvrk</w:t>
            </w:r>
          </w:p>
          <w:p w:rsidR="004D2C18" w:rsidRPr="00D23CE8" w:rsidRDefault="004D2C18" w:rsidP="004D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Martin, L. (2004). Igre od glave do pete. Zagreb: Profil International – biblioteka Zvrk.</w:t>
            </w:r>
          </w:p>
          <w:p w:rsidR="00C86FDC" w:rsidRPr="00FF1020" w:rsidRDefault="004D2C18" w:rsidP="004D2C1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Pauwels</w:t>
            </w:r>
            <w:proofErr w:type="spellEnd"/>
            <w:r w:rsidRPr="00D23CE8">
              <w:rPr>
                <w:rFonts w:ascii="Times New Roman" w:hAnsi="Times New Roman" w:cs="Times New Roman"/>
                <w:sz w:val="20"/>
                <w:szCs w:val="20"/>
              </w:rPr>
              <w:t>, C. (2004). Samo moje igre. Zagreb: Profil International – biblioteka Zvrk</w:t>
            </w:r>
          </w:p>
        </w:tc>
      </w:tr>
      <w:tr w:rsidR="00C86FDC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86FDC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C86FDC" w:rsidRPr="00FF1020" w:rsidRDefault="00C86FDC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86FDC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C86FDC" w:rsidRPr="00FF1020" w:rsidRDefault="00281B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C86FDC" w:rsidRPr="00FF1020" w:rsidRDefault="00C86F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C86FDC" w:rsidRPr="00FF1020" w:rsidRDefault="00281B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C86FDC" w:rsidRPr="00FF1020" w:rsidRDefault="00C86F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C86FDC" w:rsidRPr="00FF1020" w:rsidRDefault="00281B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91"/>
                  </w:sdtPr>
                  <w:sdtEndPr/>
                  <w:sdtContent>
                    <w:r w:rsidR="00AF2E77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C86FDC" w:rsidRPr="00FF1020" w:rsidRDefault="00281B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C86FDC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C86FDC" w:rsidRPr="00FF1020" w:rsidRDefault="00281B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C86FDC" w:rsidRPr="00FF1020" w:rsidRDefault="00281B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C86FDC" w:rsidRPr="00FF1020" w:rsidRDefault="00281B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C86FDC" w:rsidRPr="00FF1020" w:rsidRDefault="00C86F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C86FDC" w:rsidRPr="00FF1020" w:rsidRDefault="00281B9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C86FDC" w:rsidRPr="00FF1020" w:rsidRDefault="00C86FD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C86FDC" w:rsidRPr="00FF1020" w:rsidRDefault="00281B9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C86FDC" w:rsidRPr="00FF1020" w:rsidRDefault="00281B9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6FDC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C86FDC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C86FDC" w:rsidRPr="00FF1020" w:rsidRDefault="00AF2E77" w:rsidP="00AF2E7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20% zadaća; 80% pismeni i usmeni završni ispit</w:t>
            </w:r>
          </w:p>
        </w:tc>
      </w:tr>
      <w:tr w:rsidR="00C86FDC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C86FDC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C86FDC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C86FDC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C86FDC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C86FDC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C86FDC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C86FDC" w:rsidRPr="00FF1020" w:rsidRDefault="00281B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C86FDC" w:rsidRPr="00FF1020" w:rsidRDefault="00281B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C86FDC" w:rsidRPr="00FF1020" w:rsidRDefault="00281B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C86FDC" w:rsidRPr="00FF1020" w:rsidRDefault="00281B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C86FDC" w:rsidRPr="00FF1020" w:rsidRDefault="00281B9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EndPr/>
              <w:sdtContent>
                <w:r w:rsidR="00C86FD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6FDC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C86FDC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C86FDC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krivotvorenja kao što su uporaba ili posjedovanje neautorizirana materijala tijekom ispita; lažno predstavljanje i nazočnost ispitima u ime drugih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studenata; lažiranje dokumenata u vezi sa studijima; falsificiranje potpisa i ocjena; krivotvorenje rezultata ispita“.</w:t>
            </w:r>
          </w:p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C86FDC" w:rsidRPr="00FF1020" w:rsidRDefault="00C86FDC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A306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9C" w:rsidRDefault="00281B9C" w:rsidP="009947BA">
      <w:pPr>
        <w:spacing w:before="0" w:after="0"/>
      </w:pPr>
      <w:r>
        <w:separator/>
      </w:r>
    </w:p>
  </w:endnote>
  <w:endnote w:type="continuationSeparator" w:id="0">
    <w:p w:rsidR="00281B9C" w:rsidRDefault="00281B9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9C" w:rsidRDefault="00281B9C" w:rsidP="009947BA">
      <w:pPr>
        <w:spacing w:before="0" w:after="0"/>
      </w:pPr>
      <w:r>
        <w:separator/>
      </w:r>
    </w:p>
  </w:footnote>
  <w:footnote w:type="continuationSeparator" w:id="0">
    <w:p w:rsidR="00281B9C" w:rsidRDefault="00281B9C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BE799F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2BF7"/>
    <w:multiLevelType w:val="hybridMultilevel"/>
    <w:tmpl w:val="BCEC53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C66"/>
    <w:multiLevelType w:val="hybridMultilevel"/>
    <w:tmpl w:val="43C68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1353F"/>
    <w:multiLevelType w:val="hybridMultilevel"/>
    <w:tmpl w:val="E76A7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D103A"/>
    <w:multiLevelType w:val="hybridMultilevel"/>
    <w:tmpl w:val="7AF0D7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40627"/>
    <w:rsid w:val="000C0578"/>
    <w:rsid w:val="0010332B"/>
    <w:rsid w:val="001443A2"/>
    <w:rsid w:val="00150B32"/>
    <w:rsid w:val="00197510"/>
    <w:rsid w:val="001C7C51"/>
    <w:rsid w:val="00226462"/>
    <w:rsid w:val="0022722C"/>
    <w:rsid w:val="00281B9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D2C18"/>
    <w:rsid w:val="00507C65"/>
    <w:rsid w:val="0052484E"/>
    <w:rsid w:val="00527C5F"/>
    <w:rsid w:val="005353ED"/>
    <w:rsid w:val="005514C3"/>
    <w:rsid w:val="005E1668"/>
    <w:rsid w:val="005E5F80"/>
    <w:rsid w:val="005F6E0B"/>
    <w:rsid w:val="00613CA4"/>
    <w:rsid w:val="0062328F"/>
    <w:rsid w:val="00684BBC"/>
    <w:rsid w:val="006B4920"/>
    <w:rsid w:val="00700D7A"/>
    <w:rsid w:val="00721260"/>
    <w:rsid w:val="007361E7"/>
    <w:rsid w:val="007368EB"/>
    <w:rsid w:val="00754993"/>
    <w:rsid w:val="0078125F"/>
    <w:rsid w:val="00794496"/>
    <w:rsid w:val="007967CC"/>
    <w:rsid w:val="0079745E"/>
    <w:rsid w:val="00797B40"/>
    <w:rsid w:val="007C43A4"/>
    <w:rsid w:val="007D4D2D"/>
    <w:rsid w:val="00812A10"/>
    <w:rsid w:val="00865776"/>
    <w:rsid w:val="00874D5D"/>
    <w:rsid w:val="00891C60"/>
    <w:rsid w:val="008942F0"/>
    <w:rsid w:val="008C1717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306D5"/>
    <w:rsid w:val="00A9132B"/>
    <w:rsid w:val="00AA1A5A"/>
    <w:rsid w:val="00AD23FB"/>
    <w:rsid w:val="00AF2E77"/>
    <w:rsid w:val="00B71A57"/>
    <w:rsid w:val="00B7307A"/>
    <w:rsid w:val="00BD127B"/>
    <w:rsid w:val="00BE799F"/>
    <w:rsid w:val="00C02454"/>
    <w:rsid w:val="00C03DE4"/>
    <w:rsid w:val="00C3477B"/>
    <w:rsid w:val="00C85956"/>
    <w:rsid w:val="00C86FDC"/>
    <w:rsid w:val="00C9733D"/>
    <w:rsid w:val="00CA3783"/>
    <w:rsid w:val="00CB23F4"/>
    <w:rsid w:val="00D03AA2"/>
    <w:rsid w:val="00D136E4"/>
    <w:rsid w:val="00D46545"/>
    <w:rsid w:val="00D5334D"/>
    <w:rsid w:val="00D5523D"/>
    <w:rsid w:val="00D9370E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6E9D4-65B3-4794-82C5-70FE4DF9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4D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A84C-1993-418B-BA6D-FF70570C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jalic</cp:lastModifiedBy>
  <cp:revision>2</cp:revision>
  <cp:lastPrinted>2021-02-12T11:27:00Z</cp:lastPrinted>
  <dcterms:created xsi:type="dcterms:W3CDTF">2024-02-22T11:01:00Z</dcterms:created>
  <dcterms:modified xsi:type="dcterms:W3CDTF">2024-02-22T11:01:00Z</dcterms:modified>
</cp:coreProperties>
</file>